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72D72">
        <w:rPr>
          <w:sz w:val="28"/>
        </w:rPr>
        <w:t>Gleichung verändern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72D72" w:rsidTr="00D72D72">
        <w:tc>
          <w:tcPr>
            <w:tcW w:w="2466" w:type="dxa"/>
            <w:tcBorders>
              <w:top w:val="single" w:sz="4" w:space="0" w:color="auto"/>
            </w:tcBorders>
            <w:vAlign w:val="center"/>
          </w:tcPr>
          <w:p w:rsidR="00D72D72" w:rsidRDefault="00D72D72" w:rsidP="00430685">
            <w:pPr>
              <w:pStyle w:val="IQB-Merkmal"/>
            </w:pPr>
            <w:r>
              <w:t>Leitidee</w:t>
            </w:r>
          </w:p>
        </w:tc>
        <w:tc>
          <w:tcPr>
            <w:tcW w:w="6604" w:type="dxa"/>
            <w:tcBorders>
              <w:top w:val="single" w:sz="4" w:space="0" w:color="auto"/>
            </w:tcBorders>
          </w:tcPr>
          <w:p w:rsidR="00D72D72" w:rsidRDefault="00D72D72" w:rsidP="00430685">
            <w:pPr>
              <w:pStyle w:val="IQB-Merkmalswert"/>
            </w:pPr>
            <w:r>
              <w:t>4. Funktionaler Zusammenhang</w:t>
            </w:r>
          </w:p>
        </w:tc>
      </w:tr>
      <w:tr w:rsidR="00D72D72" w:rsidTr="00D72D72">
        <w:tc>
          <w:tcPr>
            <w:tcW w:w="2466" w:type="dxa"/>
            <w:vAlign w:val="center"/>
          </w:tcPr>
          <w:p w:rsidR="00D72D72" w:rsidRDefault="00D72D72" w:rsidP="00430685">
            <w:pPr>
              <w:pStyle w:val="IQB-Merkmal"/>
            </w:pPr>
            <w:r>
              <w:t>Allgemeine Kompetenz</w:t>
            </w:r>
          </w:p>
        </w:tc>
        <w:tc>
          <w:tcPr>
            <w:tcW w:w="6604" w:type="dxa"/>
          </w:tcPr>
          <w:p w:rsidR="00D72D72" w:rsidRDefault="00D72D72" w:rsidP="00430685">
            <w:pPr>
              <w:pStyle w:val="IQB-Merkmalswert"/>
            </w:pPr>
            <w:r w:rsidRPr="0007762E">
              <w:t>Mit Mathematik symbolisch/ formal/ technisch umgehen (K5)</w:t>
            </w:r>
          </w:p>
        </w:tc>
      </w:tr>
      <w:tr w:rsidR="00D72D72" w:rsidTr="00D72D72">
        <w:tc>
          <w:tcPr>
            <w:tcW w:w="2466" w:type="dxa"/>
            <w:vAlign w:val="center"/>
          </w:tcPr>
          <w:p w:rsidR="00D72D72" w:rsidRDefault="00D72D72" w:rsidP="00430685">
            <w:pPr>
              <w:pStyle w:val="IQB-Merkmal"/>
            </w:pPr>
            <w:r>
              <w:t>Anforderungsbereich</w:t>
            </w:r>
          </w:p>
        </w:tc>
        <w:tc>
          <w:tcPr>
            <w:tcW w:w="6604" w:type="dxa"/>
          </w:tcPr>
          <w:p w:rsidR="00D72D72" w:rsidRDefault="00D72D72" w:rsidP="00430685">
            <w:pPr>
              <w:pStyle w:val="IQB-Merkmalswert"/>
            </w:pPr>
            <w:r>
              <w:t>I</w:t>
            </w:r>
          </w:p>
        </w:tc>
      </w:tr>
      <w:tr w:rsidR="00D72D72" w:rsidTr="00D72D72">
        <w:tc>
          <w:tcPr>
            <w:tcW w:w="2466" w:type="dxa"/>
            <w:tcBorders>
              <w:bottom w:val="single" w:sz="4" w:space="0" w:color="auto"/>
            </w:tcBorders>
            <w:vAlign w:val="center"/>
          </w:tcPr>
          <w:p w:rsidR="00D72D72" w:rsidRDefault="00D72D72" w:rsidP="00430685">
            <w:pPr>
              <w:pStyle w:val="IQB-Merkmal"/>
            </w:pPr>
            <w:r>
              <w:t>Kompetenzstufe</w:t>
            </w:r>
          </w:p>
        </w:tc>
        <w:tc>
          <w:tcPr>
            <w:tcW w:w="6604" w:type="dxa"/>
            <w:tcBorders>
              <w:bottom w:val="single" w:sz="4" w:space="0" w:color="auto"/>
            </w:tcBorders>
          </w:tcPr>
          <w:p w:rsidR="00D72D72" w:rsidRDefault="00D72D72" w:rsidP="00430685">
            <w:pPr>
              <w:pStyle w:val="IQB-Merkmalswert"/>
            </w:pPr>
            <w:r>
              <w:t>1a</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72D72" w:rsidTr="00D72D72">
        <w:tc>
          <w:tcPr>
            <w:tcW w:w="2466" w:type="dxa"/>
            <w:tcBorders>
              <w:top w:val="single" w:sz="4" w:space="0" w:color="auto"/>
            </w:tcBorders>
            <w:vAlign w:val="center"/>
          </w:tcPr>
          <w:p w:rsidR="00D72D72" w:rsidRDefault="00D72D72" w:rsidP="00430685">
            <w:pPr>
              <w:pStyle w:val="IQB-Merkmal"/>
            </w:pPr>
            <w:r>
              <w:t>Leitidee</w:t>
            </w:r>
          </w:p>
        </w:tc>
        <w:tc>
          <w:tcPr>
            <w:tcW w:w="6604" w:type="dxa"/>
            <w:tcBorders>
              <w:top w:val="single" w:sz="4" w:space="0" w:color="auto"/>
            </w:tcBorders>
          </w:tcPr>
          <w:p w:rsidR="00D72D72" w:rsidRDefault="00D72D72" w:rsidP="00430685">
            <w:pPr>
              <w:pStyle w:val="IQB-Merkmalswert"/>
            </w:pPr>
            <w:r>
              <w:t>4. Funktionaler Zusammenhang</w:t>
            </w:r>
          </w:p>
        </w:tc>
      </w:tr>
      <w:tr w:rsidR="00D72D72" w:rsidTr="00D72D72">
        <w:tc>
          <w:tcPr>
            <w:tcW w:w="2466" w:type="dxa"/>
            <w:vAlign w:val="center"/>
          </w:tcPr>
          <w:p w:rsidR="00D72D72" w:rsidRDefault="00D72D72" w:rsidP="00430685">
            <w:pPr>
              <w:pStyle w:val="IQB-Merkmal"/>
            </w:pPr>
            <w:r>
              <w:t>Allgemeine Kompetenz</w:t>
            </w:r>
          </w:p>
        </w:tc>
        <w:tc>
          <w:tcPr>
            <w:tcW w:w="6604" w:type="dxa"/>
          </w:tcPr>
          <w:p w:rsidR="00D72D72" w:rsidRDefault="00D72D72" w:rsidP="00430685">
            <w:pPr>
              <w:pStyle w:val="IQB-Merkmalswert"/>
            </w:pPr>
            <w:r w:rsidRPr="0007762E">
              <w:t>Probleme mathematisch lösen (K2)</w:t>
            </w:r>
            <w:r>
              <w:t>,</w:t>
            </w:r>
          </w:p>
          <w:p w:rsidR="00D72D72" w:rsidRDefault="00D72D72" w:rsidP="00430685">
            <w:pPr>
              <w:pStyle w:val="IQB-Merkmalswert"/>
            </w:pPr>
            <w:r w:rsidRPr="0007762E">
              <w:t>Mit Mathematik symbolisch/ formal/ technisch umgehen (K5)</w:t>
            </w:r>
          </w:p>
        </w:tc>
      </w:tr>
      <w:tr w:rsidR="00D72D72" w:rsidTr="00D72D72">
        <w:tc>
          <w:tcPr>
            <w:tcW w:w="2466" w:type="dxa"/>
            <w:vAlign w:val="center"/>
          </w:tcPr>
          <w:p w:rsidR="00D72D72" w:rsidRDefault="00D72D72" w:rsidP="00430685">
            <w:pPr>
              <w:pStyle w:val="IQB-Merkmal"/>
            </w:pPr>
            <w:r>
              <w:t>Anforderungsbereich</w:t>
            </w:r>
          </w:p>
        </w:tc>
        <w:tc>
          <w:tcPr>
            <w:tcW w:w="6604" w:type="dxa"/>
          </w:tcPr>
          <w:p w:rsidR="00D72D72" w:rsidRDefault="00D72D72" w:rsidP="00430685">
            <w:pPr>
              <w:pStyle w:val="IQB-Merkmalswert"/>
            </w:pPr>
            <w:r>
              <w:t>II</w:t>
            </w:r>
          </w:p>
        </w:tc>
      </w:tr>
      <w:tr w:rsidR="00D72D72" w:rsidTr="00D72D72">
        <w:tc>
          <w:tcPr>
            <w:tcW w:w="2466" w:type="dxa"/>
            <w:tcBorders>
              <w:bottom w:val="single" w:sz="4" w:space="0" w:color="auto"/>
            </w:tcBorders>
            <w:vAlign w:val="center"/>
          </w:tcPr>
          <w:p w:rsidR="00D72D72" w:rsidRDefault="00D72D72" w:rsidP="00430685">
            <w:pPr>
              <w:pStyle w:val="IQB-Merkmal"/>
            </w:pPr>
            <w:r>
              <w:t>Kompetenzstufe</w:t>
            </w:r>
          </w:p>
        </w:tc>
        <w:tc>
          <w:tcPr>
            <w:tcW w:w="6604" w:type="dxa"/>
            <w:tcBorders>
              <w:bottom w:val="single" w:sz="4" w:space="0" w:color="auto"/>
            </w:tcBorders>
          </w:tcPr>
          <w:p w:rsidR="00D72D72" w:rsidRDefault="00D72D72" w:rsidP="00430685">
            <w:pPr>
              <w:pStyle w:val="IQB-Merkmalswert"/>
            </w:pPr>
            <w:r>
              <w:t>3</w:t>
            </w:r>
          </w:p>
        </w:tc>
      </w:tr>
    </w:tbl>
    <w:p w:rsidR="00694A63" w:rsidRPr="00694A63" w:rsidRDefault="00694A63" w:rsidP="00694A63">
      <w:pPr>
        <w:pStyle w:val="IQB-Teilaufgabentitel"/>
        <w:rPr>
          <w:b/>
        </w:rPr>
      </w:pPr>
      <w:r w:rsidRPr="00694A63">
        <w:rPr>
          <w:b/>
        </w:rPr>
        <w:t>Aufgabenbezogener Kommentar</w:t>
      </w:r>
    </w:p>
    <w:p w:rsidR="00D72D72" w:rsidRPr="004B5F56" w:rsidRDefault="00D72D72" w:rsidP="00D72D72">
      <w:pPr>
        <w:pStyle w:val="IQB-Standard"/>
        <w:rPr>
          <w:sz w:val="22"/>
          <w:szCs w:val="22"/>
        </w:rPr>
      </w:pPr>
      <w:r w:rsidRPr="004B5F56">
        <w:rPr>
          <w:sz w:val="22"/>
          <w:szCs w:val="22"/>
        </w:rPr>
        <w:t>In beiden Teilaufgaben geht es um die Lösung einer linearen Gleichung. Sie werden daher der Leitidee Funktionaler Zusammenhang (L4) zugeordnet.</w:t>
      </w:r>
    </w:p>
    <w:p w:rsidR="00D72D72" w:rsidRPr="004B5F56" w:rsidRDefault="00D72D72" w:rsidP="00D72D72">
      <w:pPr>
        <w:pStyle w:val="IQB-Standard"/>
        <w:rPr>
          <w:sz w:val="22"/>
          <w:szCs w:val="22"/>
        </w:rPr>
      </w:pPr>
      <w:r w:rsidRPr="004B5F56">
        <w:rPr>
          <w:sz w:val="22"/>
          <w:szCs w:val="22"/>
        </w:rPr>
        <w:t>In der ersten Teilaufgabe soll die Lösung einer gegebenen linearen Gleichung bestimmt werden. Die Lernenden können die Lösung z.</w:t>
      </w:r>
      <w:r w:rsidRPr="00560E35">
        <w:rPr>
          <w:sz w:val="11"/>
          <w:szCs w:val="11"/>
        </w:rPr>
        <w:t xml:space="preserve"> </w:t>
      </w:r>
      <w:r w:rsidRPr="004B5F56">
        <w:rPr>
          <w:sz w:val="22"/>
          <w:szCs w:val="22"/>
        </w:rPr>
        <w:t xml:space="preserve">B. durch Probieren oder durch Äquivalenzumformungen bestimmen (K5). </w:t>
      </w:r>
    </w:p>
    <w:p w:rsidR="00D72D72" w:rsidRPr="004B5F56" w:rsidRDefault="00D72D72" w:rsidP="00D72D72">
      <w:pPr>
        <w:pStyle w:val="IQB-Standard"/>
        <w:rPr>
          <w:sz w:val="22"/>
          <w:szCs w:val="22"/>
        </w:rPr>
      </w:pPr>
      <w:r w:rsidRPr="004B5F56">
        <w:rPr>
          <w:sz w:val="22"/>
          <w:szCs w:val="22"/>
        </w:rPr>
        <w:t>In der zweiten Teilaufgabe soll die lineare Gleichung so verändert werden, dass sie eine vorgegebene Lösung hat (K5). Die Schülerinnen und Schüler können ihr Vorgehen hierbei frei wählen und auch selbst entscheiden, welche der drei Zahlen in der Gleichung verändert werden soll (K2).</w:t>
      </w:r>
    </w:p>
    <w:p w:rsidR="00D72D72" w:rsidRPr="004B5F56" w:rsidRDefault="00D72D72" w:rsidP="00D72D72">
      <w:pPr>
        <w:pStyle w:val="IQB-Standard"/>
        <w:rPr>
          <w:sz w:val="22"/>
          <w:szCs w:val="22"/>
        </w:rPr>
      </w:pPr>
      <w:r w:rsidRPr="004B5F56">
        <w:rPr>
          <w:sz w:val="22"/>
          <w:szCs w:val="22"/>
        </w:rPr>
        <w:t>Teilaufgabe 1 ist Anforderungsbereich I zugeordnet, da hier auf einfache Routineverfahren zurückgegriffen werden kann. Weil die kognitiven Anforderungen an das Problemlösen in Teilaufgabe 2 höher sind, handelt es sich um Anforderungsbereich II.</w:t>
      </w:r>
    </w:p>
    <w:p w:rsidR="00694A63" w:rsidRPr="00694A63" w:rsidRDefault="00694A63" w:rsidP="00694A63">
      <w:pPr>
        <w:pStyle w:val="IQB-Teilaufgabentitel"/>
        <w:rPr>
          <w:b/>
        </w:rPr>
      </w:pPr>
      <w:r w:rsidRPr="00694A63">
        <w:rPr>
          <w:b/>
        </w:rPr>
        <w:t>Anregungen für den Unterricht</w:t>
      </w:r>
    </w:p>
    <w:p w:rsidR="00D72D72" w:rsidRPr="00D72D72" w:rsidRDefault="00D72D72" w:rsidP="00D72D72">
      <w:pPr>
        <w:spacing w:before="60"/>
        <w:rPr>
          <w:rFonts w:ascii="Arial" w:hAnsi="Arial" w:cs="Arial"/>
          <w:sz w:val="22"/>
          <w:szCs w:val="22"/>
        </w:rPr>
      </w:pPr>
      <w:r w:rsidRPr="00D72D72">
        <w:rPr>
          <w:rFonts w:ascii="Arial" w:hAnsi="Arial" w:cs="Arial"/>
          <w:sz w:val="22"/>
          <w:szCs w:val="22"/>
        </w:rPr>
        <w:t xml:space="preserve">Handelt es sich bei Teilaufgabe 1 noch um eine Routineaufgabe (Bestimmung einer Unbekannten in einer linearen Gleichung), so wird durch das „Umdrehen“ der Aufgabe eine weitaus interessantere Übungsaufgabe geschaffen. Im Unterricht sollten alle drei Lösungen besprochen werden. Dabei kann man ausgehend von der Festlegung x = 9 durch „umgekehrte“ Äquivalenzumformungen die jeweilige Lösung herleiten. Dies bietet sich für den Unterricht  immer dann an, wenn über einen längeren Zeitraum Gleichungen </w:t>
      </w:r>
      <w:proofErr w:type="spellStart"/>
      <w:r w:rsidRPr="00D72D72">
        <w:rPr>
          <w:rFonts w:ascii="Arial" w:hAnsi="Arial" w:cs="Arial"/>
          <w:sz w:val="22"/>
          <w:szCs w:val="22"/>
        </w:rPr>
        <w:t>kalkülhaft</w:t>
      </w:r>
      <w:proofErr w:type="spellEnd"/>
      <w:r w:rsidRPr="00D72D72">
        <w:rPr>
          <w:rFonts w:ascii="Arial" w:hAnsi="Arial" w:cs="Arial"/>
          <w:sz w:val="22"/>
          <w:szCs w:val="22"/>
        </w:rPr>
        <w:t xml:space="preserve"> gelöst worden sind.</w:t>
      </w:r>
    </w:p>
    <w:p w:rsidR="00D72D72" w:rsidRPr="00D72D72" w:rsidRDefault="00D72D72" w:rsidP="00D72D72">
      <w:pPr>
        <w:spacing w:before="60"/>
        <w:rPr>
          <w:rFonts w:ascii="Arial" w:hAnsi="Arial" w:cs="Arial"/>
          <w:sz w:val="22"/>
          <w:szCs w:val="22"/>
        </w:rPr>
      </w:pPr>
      <w:r w:rsidRPr="00D72D72">
        <w:rPr>
          <w:rFonts w:ascii="Arial" w:hAnsi="Arial" w:cs="Arial"/>
          <w:sz w:val="22"/>
          <w:szCs w:val="22"/>
        </w:rPr>
        <w:t xml:space="preserve">Auch die zusätzliche Teilaufgabe am Ende des Absatzes weist in diese Richtung. Wurden im Unterricht bereits lineare Funktionen behandelt, so kann die Veränderung einer der Zahlen 2, 4 und 14 aus der Gleichung auch grafisch interpretiert werden. Während die Lösung der ursprünglichen Gleichung als Schnittpunkt der Geraden y = 2x+4 und y = 14 betrachtet werden kann, so ist nun die eine der beiden Geraden so zu verändern, dass dieser Schnittpunkt an der Stelle x = 9 liegt. Dies kann beispielsweise erreicht werden, wenn die Gerade y = 14 durch die Gerade y = 22 ersetzt wird oder die Steigung der Geraden y = 2x + 4 geändert wird. </w:t>
      </w:r>
    </w:p>
    <w:p w:rsidR="00D72D72" w:rsidRPr="00D72D72" w:rsidRDefault="00D72D72" w:rsidP="00D72D72">
      <w:pPr>
        <w:spacing w:before="60"/>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039"/>
      </w:tblGrid>
      <w:tr w:rsidR="00D72D72" w:rsidRPr="00D72D72" w:rsidTr="00430685">
        <w:tc>
          <w:tcPr>
            <w:tcW w:w="9039" w:type="dxa"/>
          </w:tcPr>
          <w:p w:rsidR="00D72D72" w:rsidRPr="00D72D72" w:rsidRDefault="00D72D72" w:rsidP="00D72D72">
            <w:pPr>
              <w:spacing w:before="60"/>
              <w:rPr>
                <w:rFonts w:ascii="Arial" w:hAnsi="Arial" w:cs="Arial"/>
                <w:sz w:val="22"/>
                <w:szCs w:val="22"/>
              </w:rPr>
            </w:pPr>
            <w:r w:rsidRPr="00D72D72">
              <w:rPr>
                <w:rFonts w:ascii="Arial" w:hAnsi="Arial" w:cs="Arial"/>
                <w:noProof/>
                <w:sz w:val="22"/>
                <w:szCs w:val="22"/>
              </w:rPr>
              <w:lastRenderedPageBreak/>
              <mc:AlternateContent>
                <mc:Choice Requires="wps">
                  <w:drawing>
                    <wp:anchor distT="0" distB="0" distL="114297" distR="114297" simplePos="0" relativeHeight="251659264" behindDoc="0" locked="0" layoutInCell="1" allowOverlap="1">
                      <wp:simplePos x="0" y="0"/>
                      <wp:positionH relativeFrom="column">
                        <wp:posOffset>-127636</wp:posOffset>
                      </wp:positionH>
                      <wp:positionV relativeFrom="paragraph">
                        <wp:posOffset>-64770</wp:posOffset>
                      </wp:positionV>
                      <wp:extent cx="0" cy="2636520"/>
                      <wp:effectExtent l="19050" t="0" r="38100" b="49530"/>
                      <wp:wrapNone/>
                      <wp:docPr id="109" name="Gerader Verbinde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3652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6B8C285" id="Gerader Verbinder 109"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05pt,-5.1pt" to="-10.05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" strokecolor="#bfbfbf" strokeweight="4.5pt">
                      <o:lock v:ext="edit" shapetype="f"/>
                    </v:line>
                  </w:pict>
                </mc:Fallback>
              </mc:AlternateContent>
            </w:r>
            <w:r w:rsidRPr="00D72D72">
              <w:rPr>
                <w:rFonts w:ascii="Arial" w:hAnsi="Arial" w:cs="Arial"/>
                <w:noProof/>
                <w:sz w:val="22"/>
                <w:szCs w:val="22"/>
              </w:rPr>
              <w:drawing>
                <wp:inline distT="0" distB="0" distL="0" distR="0">
                  <wp:extent cx="2743200" cy="2498725"/>
                  <wp:effectExtent l="0" t="0" r="0" b="0"/>
                  <wp:docPr id="3" name="Grafik 3" descr="Beschreibung: Macintosh HD:Users:greefra:Documents:Projekte:2012 IQB Mathematik Sek I VERA:DIDAKTISCHE HANDREICHUNGEN 2015:141027_DIDKOM_ModulC:Gleichung2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Beschreibung: Macintosh HD:Users:greefra:Documents:Projekte:2012 IQB Mathematik Sek I VERA:DIDAKTISCHE HANDREICHUNGEN 2015:141027_DIDKOM_ModulC:Gleichung2x+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0" cy="2498725"/>
                          </a:xfrm>
                          <a:prstGeom prst="rect">
                            <a:avLst/>
                          </a:prstGeom>
                          <a:noFill/>
                          <a:ln>
                            <a:noFill/>
                          </a:ln>
                        </pic:spPr>
                      </pic:pic>
                    </a:graphicData>
                  </a:graphic>
                </wp:inline>
              </w:drawing>
            </w:r>
          </w:p>
        </w:tc>
      </w:tr>
    </w:tbl>
    <w:p w:rsidR="00D72D72" w:rsidRPr="00D72D72" w:rsidRDefault="00D72D72" w:rsidP="00D72D72">
      <w:pPr>
        <w:spacing w:before="60"/>
        <w:rPr>
          <w:rFonts w:ascii="Arial" w:hAnsi="Arial" w:cs="Arial"/>
          <w:sz w:val="22"/>
          <w:szCs w:val="22"/>
        </w:rPr>
      </w:pPr>
    </w:p>
    <w:p w:rsidR="00D72D72" w:rsidRDefault="00D72D72" w:rsidP="00D72D72">
      <w:pPr>
        <w:spacing w:before="60"/>
        <w:rPr>
          <w:rFonts w:ascii="Arial" w:hAnsi="Arial" w:cs="Arial"/>
          <w:noProof/>
          <w:sz w:val="22"/>
          <w:szCs w:val="22"/>
        </w:rPr>
      </w:pPr>
      <w:r w:rsidRPr="00D72D72">
        <w:rPr>
          <w:rFonts w:ascii="Arial" w:hAnsi="Arial" w:cs="Arial"/>
          <w:sz w:val="22"/>
          <w:szCs w:val="22"/>
        </w:rPr>
        <w:t xml:space="preserve">Ebenso ist es denkbar, bei Gleichungen mit mehreren Unbekannten oder bei quadratischen Gleichungen auf die grafische Visualisierung von Gleichungen zurückzugreifen. Dadurch kann erreicht werden, dass Lernende Gleichungen nicht nur </w:t>
      </w:r>
      <w:proofErr w:type="spellStart"/>
      <w:r w:rsidRPr="00D72D72">
        <w:rPr>
          <w:rFonts w:ascii="Arial" w:hAnsi="Arial" w:cs="Arial"/>
          <w:sz w:val="22"/>
          <w:szCs w:val="22"/>
        </w:rPr>
        <w:t>kalkülhaft</w:t>
      </w:r>
      <w:proofErr w:type="spellEnd"/>
      <w:r w:rsidRPr="00D72D72">
        <w:rPr>
          <w:rFonts w:ascii="Arial" w:hAnsi="Arial" w:cs="Arial"/>
          <w:sz w:val="22"/>
          <w:szCs w:val="22"/>
        </w:rPr>
        <w:t xml:space="preserve"> lösen, sondern auch sinnhaft damit umgehen können.</w:t>
      </w:r>
      <w:r w:rsidRPr="00D72D72">
        <w:rPr>
          <w:rFonts w:ascii="Arial" w:hAnsi="Arial" w:cs="Arial"/>
          <w:noProof/>
          <w:sz w:val="22"/>
          <w:szCs w:val="22"/>
        </w:rPr>
        <w:t xml:space="preserve"> </w:t>
      </w:r>
    </w:p>
    <w:p w:rsidR="00D72D72" w:rsidRPr="00D72D72" w:rsidRDefault="00D72D72" w:rsidP="00D72D72">
      <w:pPr>
        <w:spacing w:before="60"/>
        <w:rPr>
          <w:rFonts w:ascii="Arial" w:hAnsi="Arial" w:cs="Arial"/>
          <w:noProof/>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D72D72" w:rsidRPr="00D72D72" w:rsidTr="00430685">
        <w:tc>
          <w:tcPr>
            <w:tcW w:w="9778" w:type="dxa"/>
          </w:tcPr>
          <w:p w:rsidR="00D72D72" w:rsidRPr="00D72D72" w:rsidRDefault="00D72D72" w:rsidP="00D72D72">
            <w:pPr>
              <w:pStyle w:val="IQB-Teilaufgabensubtitel"/>
              <w:spacing w:before="60" w:after="0"/>
              <w:rPr>
                <w:rFonts w:cs="Arial"/>
                <w:szCs w:val="22"/>
              </w:rPr>
            </w:pPr>
            <w:r w:rsidRPr="00D72D72">
              <w:rPr>
                <w:rFonts w:cs="Arial"/>
                <w:noProof/>
                <w:szCs w:val="22"/>
              </w:rPr>
              <mc:AlternateContent>
                <mc:Choice Requires="wps">
                  <w:drawing>
                    <wp:anchor distT="0" distB="0" distL="114299" distR="114299" simplePos="0" relativeHeight="251660288" behindDoc="0" locked="0" layoutInCell="1" allowOverlap="1">
                      <wp:simplePos x="0" y="0"/>
                      <wp:positionH relativeFrom="column">
                        <wp:posOffset>-128270</wp:posOffset>
                      </wp:positionH>
                      <wp:positionV relativeFrom="paragraph">
                        <wp:posOffset>-82550</wp:posOffset>
                      </wp:positionV>
                      <wp:extent cx="2540" cy="2697480"/>
                      <wp:effectExtent l="19050" t="0" r="54610" b="45720"/>
                      <wp:wrapNone/>
                      <wp:docPr id="108" name="Freihandform: Form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 cy="2697480"/>
                              </a:xfrm>
                              <a:custGeom>
                                <a:avLst/>
                                <a:gdLst>
                                  <a:gd name="T0" fmla="*/ 0 w 4"/>
                                  <a:gd name="T1" fmla="*/ 0 h 4248"/>
                                  <a:gd name="T2" fmla="*/ 4 w 4"/>
                                  <a:gd name="T3" fmla="*/ 4248 h 4248"/>
                                </a:gdLst>
                                <a:ahLst/>
                                <a:cxnLst>
                                  <a:cxn ang="0">
                                    <a:pos x="T0" y="T1"/>
                                  </a:cxn>
                                  <a:cxn ang="0">
                                    <a:pos x="T2" y="T3"/>
                                  </a:cxn>
                                </a:cxnLst>
                                <a:rect l="0" t="0" r="r" b="b"/>
                                <a:pathLst>
                                  <a:path w="4" h="4248">
                                    <a:moveTo>
                                      <a:pt x="0" y="0"/>
                                    </a:moveTo>
                                    <a:lnTo>
                                      <a:pt x="4" y="4248"/>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0C86FD2" id="Freihandform: Form 10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10.1pt,-6.5pt,-9.9pt,205.9pt" coordsize="4,4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" filled="f" strokecolor="#bfbfbf" strokeweight="4.5pt">
                      <v:path arrowok="t" o:connecttype="custom" o:connectlocs="0,0;2540,2697480" o:connectangles="0,0"/>
                    </v:polyline>
                  </w:pict>
                </mc:Fallback>
              </mc:AlternateContent>
            </w:r>
            <w:r w:rsidRPr="00D72D72">
              <w:rPr>
                <w:rFonts w:cs="Arial"/>
                <w:noProof/>
                <w:szCs w:val="22"/>
              </w:rPr>
              <w:drawing>
                <wp:inline distT="0" distB="0" distL="0" distR="0">
                  <wp:extent cx="4274185" cy="797560"/>
                  <wp:effectExtent l="0" t="0" r="0"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pic:cNvPicPr>
                            <a:picLocks noChangeAspect="1" noChangeArrowheads="1"/>
                          </pic:cNvPicPr>
                        </pic:nvPicPr>
                        <pic:blipFill>
                          <a:blip r:embed="rId9">
                            <a:extLst>
                              <a:ext uri="{28A0092B-C50C-407E-A947-70E740481C1C}">
                                <a14:useLocalDpi xmlns:a14="http://schemas.microsoft.com/office/drawing/2010/main" val="0"/>
                              </a:ext>
                            </a:extLst>
                          </a:blip>
                          <a:srcRect t="3836" b="16788"/>
                          <a:stretch>
                            <a:fillRect/>
                          </a:stretch>
                        </pic:blipFill>
                        <pic:spPr bwMode="auto">
                          <a:xfrm>
                            <a:off x="0" y="0"/>
                            <a:ext cx="4274185" cy="797560"/>
                          </a:xfrm>
                          <a:prstGeom prst="rect">
                            <a:avLst/>
                          </a:prstGeom>
                          <a:noFill/>
                          <a:ln>
                            <a:noFill/>
                          </a:ln>
                        </pic:spPr>
                      </pic:pic>
                    </a:graphicData>
                  </a:graphic>
                </wp:inline>
              </w:drawing>
            </w:r>
          </w:p>
          <w:p w:rsidR="00D72D72" w:rsidRPr="00D72D72" w:rsidRDefault="00D72D72" w:rsidP="00D72D72">
            <w:pPr>
              <w:pStyle w:val="IQB-Teilaufgabensubtitel"/>
              <w:spacing w:before="360" w:after="0"/>
              <w:rPr>
                <w:rFonts w:cs="Arial"/>
                <w:szCs w:val="22"/>
              </w:rPr>
            </w:pPr>
            <w:r w:rsidRPr="00D72D72">
              <w:rPr>
                <w:rFonts w:cs="Arial"/>
                <w:szCs w:val="22"/>
              </w:rP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37"/>
            </w:tblGrid>
            <w:tr w:rsidR="00D72D72" w:rsidRPr="00D72D72" w:rsidTr="00430685">
              <w:tc>
                <w:tcPr>
                  <w:tcW w:w="1133" w:type="dxa"/>
                  <w:tcBorders>
                    <w:top w:val="single" w:sz="4" w:space="0" w:color="auto"/>
                    <w:left w:val="single" w:sz="4" w:space="0" w:color="auto"/>
                    <w:bottom w:val="single" w:sz="4" w:space="0" w:color="auto"/>
                    <w:right w:val="dotted" w:sz="4" w:space="0" w:color="auto"/>
                  </w:tcBorders>
                  <w:vAlign w:val="center"/>
                </w:tcPr>
                <w:p w:rsidR="00D72D72" w:rsidRPr="00D72D72" w:rsidRDefault="00D72D72" w:rsidP="00D72D72">
                  <w:pPr>
                    <w:pStyle w:val="IQB-RSCodeValue"/>
                    <w:rPr>
                      <w:rFonts w:cs="Arial"/>
                      <w:szCs w:val="22"/>
                    </w:rPr>
                  </w:pPr>
                  <w:r w:rsidRPr="00D72D72">
                    <w:rPr>
                      <w:rFonts w:cs="Arial"/>
                      <w:szCs w:val="22"/>
                    </w:rPr>
                    <w:t>RICHTIG</w:t>
                  </w:r>
                </w:p>
              </w:tc>
              <w:tc>
                <w:tcPr>
                  <w:tcW w:w="7937" w:type="dxa"/>
                  <w:tcBorders>
                    <w:top w:val="single" w:sz="4" w:space="0" w:color="auto"/>
                    <w:left w:val="dotted" w:sz="4" w:space="0" w:color="auto"/>
                    <w:bottom w:val="single" w:sz="4" w:space="0" w:color="auto"/>
                    <w:right w:val="single" w:sz="4" w:space="0" w:color="auto"/>
                  </w:tcBorders>
                </w:tcPr>
                <w:p w:rsidR="00D72D72" w:rsidRPr="00D72D72" w:rsidRDefault="00D72D72" w:rsidP="00D72D72">
                  <w:pPr>
                    <w:pStyle w:val="IQB-RSNormal"/>
                  </w:pPr>
                  <w:r w:rsidRPr="00D72D72">
                    <w:rPr>
                      <w:position w:val="-8"/>
                    </w:rPr>
                    <w:object w:dxaOrig="9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9.4pt;height:13.4pt" o:ole="">
                        <v:imagedata r:id="rId10" o:title=""/>
                      </v:shape>
                      <o:OLEObject Type="Embed" ProgID="Equation.DSMT4" ShapeID="_x0000_i1027" DrawAspect="Content" ObjectID="_1810473243" r:id="rId11"/>
                    </w:object>
                  </w:r>
                </w:p>
              </w:tc>
            </w:tr>
          </w:tbl>
          <w:p w:rsidR="00D72D72" w:rsidRPr="00D72D72" w:rsidRDefault="00D72D72" w:rsidP="00D72D72">
            <w:pPr>
              <w:pStyle w:val="IQB-Teilaufgabensubtitel"/>
              <w:spacing w:before="360" w:after="0"/>
              <w:rPr>
                <w:rFonts w:cs="Arial"/>
                <w:szCs w:val="22"/>
              </w:rPr>
            </w:pPr>
            <w:r w:rsidRPr="00D72D72">
              <w:rPr>
                <w:rFonts w:cs="Arial"/>
                <w:szCs w:val="22"/>
              </w:rP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72D72" w:rsidRPr="00D72D72" w:rsidTr="00430685">
              <w:tc>
                <w:tcPr>
                  <w:tcW w:w="2466" w:type="dxa"/>
                  <w:tcBorders>
                    <w:top w:val="single" w:sz="4" w:space="0" w:color="auto"/>
                    <w:left w:val="single" w:sz="4" w:space="0" w:color="auto"/>
                    <w:bottom w:val="dotted" w:sz="4" w:space="0" w:color="auto"/>
                    <w:right w:val="dotted" w:sz="4" w:space="0" w:color="auto"/>
                  </w:tcBorders>
                  <w:vAlign w:val="center"/>
                </w:tcPr>
                <w:p w:rsidR="00D72D72" w:rsidRPr="00D72D72" w:rsidRDefault="00D72D72" w:rsidP="00D72D72">
                  <w:pPr>
                    <w:pStyle w:val="IQB-Merkmal"/>
                    <w:rPr>
                      <w:rFonts w:cs="Arial"/>
                    </w:rPr>
                  </w:pPr>
                  <w:r w:rsidRPr="00D72D72">
                    <w:rPr>
                      <w:rFonts w:cs="Arial"/>
                    </w:rPr>
                    <w:t>Leitidee</w:t>
                  </w:r>
                </w:p>
              </w:tc>
              <w:tc>
                <w:tcPr>
                  <w:tcW w:w="6604" w:type="dxa"/>
                  <w:tcBorders>
                    <w:top w:val="single" w:sz="4" w:space="0" w:color="auto"/>
                    <w:left w:val="dotted" w:sz="4" w:space="0" w:color="auto"/>
                    <w:bottom w:val="dotted" w:sz="4" w:space="0" w:color="auto"/>
                    <w:right w:val="single" w:sz="4" w:space="0" w:color="auto"/>
                  </w:tcBorders>
                </w:tcPr>
                <w:p w:rsidR="00D72D72" w:rsidRPr="00D72D72" w:rsidRDefault="00D72D72" w:rsidP="00D72D72">
                  <w:pPr>
                    <w:pStyle w:val="IQB-Merkmalswert"/>
                    <w:rPr>
                      <w:rFonts w:cs="Arial"/>
                      <w:szCs w:val="22"/>
                    </w:rPr>
                  </w:pPr>
                  <w:r w:rsidRPr="00D72D72">
                    <w:rPr>
                      <w:rFonts w:cs="Arial"/>
                      <w:szCs w:val="22"/>
                    </w:rPr>
                    <w:t>4. Funktionaler Zusammenhang</w:t>
                  </w:r>
                </w:p>
              </w:tc>
            </w:tr>
            <w:tr w:rsidR="00D72D72" w:rsidRPr="00D72D72" w:rsidTr="00430685">
              <w:tc>
                <w:tcPr>
                  <w:tcW w:w="2466" w:type="dxa"/>
                  <w:tcBorders>
                    <w:top w:val="dotted" w:sz="4" w:space="0" w:color="auto"/>
                    <w:left w:val="single" w:sz="4" w:space="0" w:color="auto"/>
                    <w:bottom w:val="dotted" w:sz="4" w:space="0" w:color="auto"/>
                    <w:right w:val="dotted" w:sz="4" w:space="0" w:color="auto"/>
                  </w:tcBorders>
                  <w:vAlign w:val="center"/>
                </w:tcPr>
                <w:p w:rsidR="00D72D72" w:rsidRPr="00D72D72" w:rsidRDefault="00D72D72" w:rsidP="00D72D72">
                  <w:pPr>
                    <w:pStyle w:val="IQB-Merkmal"/>
                    <w:rPr>
                      <w:rFonts w:cs="Arial"/>
                    </w:rPr>
                  </w:pPr>
                  <w:r w:rsidRPr="00D72D72">
                    <w:rPr>
                      <w:rFonts w:cs="Arial"/>
                    </w:rPr>
                    <w:t>Allgemeine Kompetenz</w:t>
                  </w:r>
                </w:p>
              </w:tc>
              <w:tc>
                <w:tcPr>
                  <w:tcW w:w="6604" w:type="dxa"/>
                  <w:tcBorders>
                    <w:top w:val="dotted" w:sz="4" w:space="0" w:color="auto"/>
                    <w:left w:val="dotted" w:sz="4" w:space="0" w:color="auto"/>
                    <w:bottom w:val="dotted" w:sz="4" w:space="0" w:color="auto"/>
                    <w:right w:val="single" w:sz="4" w:space="0" w:color="auto"/>
                  </w:tcBorders>
                </w:tcPr>
                <w:p w:rsidR="00D72D72" w:rsidRPr="00D72D72" w:rsidRDefault="00D72D72" w:rsidP="00D72D72">
                  <w:pPr>
                    <w:pStyle w:val="IQB-Merkmalswert"/>
                    <w:rPr>
                      <w:rFonts w:cs="Arial"/>
                      <w:szCs w:val="22"/>
                    </w:rPr>
                  </w:pPr>
                  <w:r w:rsidRPr="00D72D72">
                    <w:rPr>
                      <w:rFonts w:cs="Arial"/>
                      <w:szCs w:val="22"/>
                    </w:rPr>
                    <w:t>Probleme mathematisch lösen (K2),</w:t>
                  </w:r>
                </w:p>
                <w:p w:rsidR="00D72D72" w:rsidRPr="00D72D72" w:rsidRDefault="00D72D72" w:rsidP="00D72D72">
                  <w:pPr>
                    <w:pStyle w:val="IQB-Merkmalswert"/>
                    <w:rPr>
                      <w:rFonts w:cs="Arial"/>
                      <w:szCs w:val="22"/>
                    </w:rPr>
                  </w:pPr>
                  <w:r w:rsidRPr="00D72D72">
                    <w:rPr>
                      <w:rFonts w:cs="Arial"/>
                      <w:szCs w:val="22"/>
                    </w:rPr>
                    <w:t>Mit Mathematik symbolisch/ formal/ technisch umgehen (K5)</w:t>
                  </w:r>
                </w:p>
              </w:tc>
            </w:tr>
            <w:tr w:rsidR="00D72D72" w:rsidRPr="00D72D72" w:rsidTr="00430685">
              <w:tc>
                <w:tcPr>
                  <w:tcW w:w="2466" w:type="dxa"/>
                  <w:tcBorders>
                    <w:top w:val="dotted" w:sz="4" w:space="0" w:color="auto"/>
                    <w:left w:val="single" w:sz="4" w:space="0" w:color="auto"/>
                    <w:bottom w:val="single" w:sz="4" w:space="0" w:color="auto"/>
                    <w:right w:val="dotted" w:sz="4" w:space="0" w:color="auto"/>
                  </w:tcBorders>
                  <w:vAlign w:val="center"/>
                </w:tcPr>
                <w:p w:rsidR="00D72D72" w:rsidRPr="00D72D72" w:rsidRDefault="00D72D72" w:rsidP="00D72D72">
                  <w:pPr>
                    <w:pStyle w:val="IQB-Merkmal"/>
                    <w:rPr>
                      <w:rFonts w:cs="Arial"/>
                    </w:rPr>
                  </w:pPr>
                  <w:r w:rsidRPr="00D72D72">
                    <w:rPr>
                      <w:rFonts w:cs="Arial"/>
                    </w:rPr>
                    <w:t>Anforderungsbereich</w:t>
                  </w:r>
                </w:p>
              </w:tc>
              <w:tc>
                <w:tcPr>
                  <w:tcW w:w="6604" w:type="dxa"/>
                  <w:tcBorders>
                    <w:top w:val="dotted" w:sz="4" w:space="0" w:color="auto"/>
                    <w:left w:val="dotted" w:sz="4" w:space="0" w:color="auto"/>
                    <w:bottom w:val="single" w:sz="4" w:space="0" w:color="auto"/>
                    <w:right w:val="single" w:sz="4" w:space="0" w:color="auto"/>
                  </w:tcBorders>
                </w:tcPr>
                <w:p w:rsidR="00D72D72" w:rsidRPr="00D72D72" w:rsidRDefault="00D72D72" w:rsidP="00D72D72">
                  <w:pPr>
                    <w:pStyle w:val="IQB-Merkmalswert"/>
                    <w:rPr>
                      <w:rFonts w:cs="Arial"/>
                      <w:szCs w:val="22"/>
                    </w:rPr>
                  </w:pPr>
                  <w:r w:rsidRPr="00D72D72">
                    <w:rPr>
                      <w:rFonts w:cs="Arial"/>
                      <w:szCs w:val="22"/>
                    </w:rPr>
                    <w:t>II</w:t>
                  </w:r>
                </w:p>
              </w:tc>
            </w:tr>
          </w:tbl>
          <w:p w:rsidR="00D72D72" w:rsidRPr="00D72D72" w:rsidRDefault="00D72D72" w:rsidP="00D72D72">
            <w:pPr>
              <w:spacing w:before="60"/>
              <w:rPr>
                <w:rFonts w:ascii="Arial" w:hAnsi="Arial" w:cs="Arial"/>
                <w:sz w:val="22"/>
                <w:szCs w:val="22"/>
              </w:rPr>
            </w:pPr>
          </w:p>
        </w:tc>
      </w:tr>
    </w:tbl>
    <w:p w:rsidR="00694A63" w:rsidRPr="00D72D72" w:rsidRDefault="00694A63" w:rsidP="00D72D72">
      <w:pPr>
        <w:spacing w:before="60"/>
        <w:rPr>
          <w:rFonts w:ascii="Arial" w:hAnsi="Arial" w:cs="Arial"/>
          <w:sz w:val="22"/>
          <w:szCs w:val="22"/>
        </w:rPr>
      </w:pPr>
      <w:bookmarkStart w:id="0" w:name="_GoBack"/>
      <w:bookmarkEnd w:id="0"/>
    </w:p>
    <w:sectPr w:rsidR="00694A63" w:rsidRPr="00D72D72"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96919658-3B19-4BE8-B72C-CD87CAF1DB69}"/>
    <w:embedBold r:id="rId2" w:fontKey="{35A170E8-88B4-4B95-B32C-93B4AC5E97D9}"/>
    <w:embedBoldItalic r:id="rId3" w:fontKey="{C6D86C16-02FB-4428-BD00-E9C2074D7C8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
  </w:num>
  <w:num w:numId="3">
    <w:abstractNumId w:val="0"/>
  </w:num>
  <w:num w:numId="4">
    <w:abstractNumId w:val="9"/>
  </w:num>
  <w:num w:numId="5">
    <w:abstractNumId w:val="5"/>
  </w:num>
  <w:num w:numId="6">
    <w:abstractNumId w:val="7"/>
  </w:num>
  <w:num w:numId="7">
    <w:abstractNumId w:val="3"/>
  </w:num>
  <w:num w:numId="8">
    <w:abstractNumId w:val="1"/>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o:shapelayout v:ext="edit">
      <o:idmap v:ext="edit" data="1"/>
    </o:shapelayout>
  </w:shapeDefaults>
  <w:decimalSymbol w:val=","/>
  <w:listSeparator w:val=";"/>
  <w14:docId w14:val="34DB26D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D830F5-951F-4CA2-9DD2-AC44A3A3C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382</Words>
  <Characters>2705</Characters>
  <Application>Microsoft Office Word</Application>
  <DocSecurity>0</DocSecurity>
  <Lines>208</Lines>
  <Paragraphs>192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2025-06-03T14:27:00Z</dcterms:created>
  <dcterms:modified xsi:type="dcterms:W3CDTF">2025-06-03T14:27:00Z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